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附件二：</w:t>
      </w:r>
    </w:p>
    <w:p>
      <w:pPr>
        <w:keepNext w:val="0"/>
        <w:keepLines w:val="0"/>
        <w:widowControl/>
        <w:suppressLineNumbers w:val="0"/>
        <w:jc w:val="center"/>
        <w:rPr>
          <w:rFonts w:hint="eastAsia" w:ascii="宋体" w:hAnsi="宋体" w:eastAsia="宋体" w:cs="宋体"/>
          <w:b/>
          <w:bCs/>
          <w:kern w:val="0"/>
          <w:sz w:val="36"/>
          <w:szCs w:val="36"/>
          <w:lang w:val="en-US" w:eastAsia="zh-CN" w:bidi="ar"/>
        </w:rPr>
      </w:pPr>
      <w:r>
        <w:rPr>
          <w:rFonts w:hint="eastAsia" w:ascii="宋体" w:hAnsi="宋体" w:eastAsia="宋体" w:cs="宋体"/>
          <w:b/>
          <w:bCs/>
          <w:kern w:val="0"/>
          <w:sz w:val="36"/>
          <w:szCs w:val="36"/>
          <w:lang w:val="en-US" w:eastAsia="zh-CN" w:bidi="ar"/>
        </w:rPr>
        <w:t>关于加大煤改清洁能源政策支持力度的通知京发改</w:t>
      </w:r>
    </w:p>
    <w:p>
      <w:pPr>
        <w:keepNext w:val="0"/>
        <w:keepLines w:val="0"/>
        <w:pageBreakBefore w:val="0"/>
        <w:widowControl/>
        <w:suppressLineNumbers w:val="0"/>
        <w:kinsoku/>
        <w:wordWrap/>
        <w:overflowPunct/>
        <w:topLinePunct w:val="0"/>
        <w:autoSpaceDE/>
        <w:autoSpaceDN/>
        <w:bidi w:val="0"/>
        <w:adjustRightInd/>
        <w:snapToGrid/>
        <w:spacing w:line="240" w:lineRule="exact"/>
        <w:ind w:left="0" w:leftChars="0" w:right="0" w:rightChars="0" w:firstLine="0" w:firstLineChars="0"/>
        <w:jc w:val="center"/>
        <w:textAlignment w:val="auto"/>
        <w:outlineLvl w:val="9"/>
        <w:rPr>
          <w:rFonts w:hint="eastAsia" w:ascii="宋体" w:hAnsi="宋体" w:eastAsia="宋体" w:cs="宋体"/>
          <w:b/>
          <w:bCs/>
          <w:kern w:val="0"/>
          <w:sz w:val="36"/>
          <w:szCs w:val="36"/>
          <w:lang w:val="en-US" w:eastAsia="zh-CN" w:bidi="ar"/>
        </w:rPr>
      </w:pPr>
    </w:p>
    <w:p>
      <w:pPr>
        <w:keepNext w:val="0"/>
        <w:keepLines w:val="0"/>
        <w:widowControl/>
        <w:suppressLineNumbers w:val="0"/>
        <w:jc w:val="center"/>
        <w:rPr>
          <w:rFonts w:hint="eastAsia" w:ascii="宋体" w:hAnsi="宋体" w:eastAsia="宋体" w:cs="宋体"/>
          <w:b w:val="0"/>
          <w:bCs w:val="0"/>
          <w:kern w:val="0"/>
          <w:sz w:val="28"/>
          <w:szCs w:val="28"/>
          <w:lang w:val="en-US" w:eastAsia="zh-CN" w:bidi="ar"/>
        </w:rPr>
      </w:pPr>
      <w:r>
        <w:rPr>
          <w:rFonts w:hint="eastAsia" w:ascii="宋体" w:hAnsi="宋体" w:eastAsia="宋体" w:cs="宋体"/>
          <w:b w:val="0"/>
          <w:bCs w:val="0"/>
          <w:kern w:val="0"/>
          <w:sz w:val="28"/>
          <w:szCs w:val="28"/>
          <w:lang w:val="en-US" w:eastAsia="zh-CN" w:bidi="ar"/>
        </w:rPr>
        <w:t>[2016]643号</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left"/>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b w:val="0"/>
          <w:bCs w:val="0"/>
          <w:kern w:val="0"/>
          <w:sz w:val="28"/>
          <w:szCs w:val="28"/>
          <w:lang w:val="en-US" w:eastAsia="zh-CN" w:bidi="ar"/>
        </w:rPr>
        <w:t>各区发展改革委、各相关单位：</w:t>
      </w:r>
      <w:bookmarkStart w:id="0" w:name="_GoBack"/>
      <w:bookmarkEnd w:id="0"/>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为加快推进落实燃煤压减各项重点任务，促进空气质量持续改善，经研究，决定加大对2016-2020年民用散煤和燃煤锅炉清洁能源改造的市政府固定资产投资支持力度，具体支持政策通知如下：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一、在全市范围内对实施天然气、电等清洁能源改造的燃煤锅炉项目，均按原规模改造工程建设投资30%的比例安排市政府固定资产投资资金补助（不含供热管线），“煤改地源热泵”项目按工程建设投资50%的比例安排市政府固定资产投资资金支持；对于农村地区“煤改气”项目涉及区域调压站（不含）或接气点至调压箱（含）段燃气管线，按工程建设投资30%的比例安排市政府固定资产投资资金补助；“煤改LNG/CNG”项目配套燃气场站及燃气管线工程，按工程建设投资30%的比例安排市政府固定资产投资资金补助。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二、对于“域外引热”配套供热支干线（主干网至换热站[含]）工程，按工程建设投资30%的比例安排市政府固定资产投资资金补助。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三、由本市固定资产投资建设的新城燃煤集中供热中心，在完成决算且运行时间超过十年后，方可享受燃煤清洁能源改造政策。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宋体" w:hAnsi="宋体" w:eastAsia="宋体" w:cs="宋体"/>
          <w:kern w:val="0"/>
          <w:sz w:val="28"/>
          <w:szCs w:val="28"/>
          <w:lang w:val="en-US" w:eastAsia="zh-CN" w:bidi="ar"/>
        </w:rPr>
      </w:pPr>
      <w:r>
        <w:rPr>
          <w:rFonts w:hint="eastAsia" w:ascii="宋体" w:hAnsi="宋体" w:eastAsia="宋体" w:cs="宋体"/>
          <w:kern w:val="0"/>
          <w:sz w:val="28"/>
          <w:szCs w:val="28"/>
          <w:lang w:val="en-US" w:eastAsia="zh-CN" w:bidi="ar"/>
        </w:rPr>
        <w:t xml:space="preserve"> 四、实施煤改气、煤改LNG/CNG的锅炉要加装超低氮燃烧设备，进一步降低对大气环境质量影响。   </w:t>
      </w:r>
    </w:p>
    <w:p>
      <w:pPr>
        <w:keepNext w:val="0"/>
        <w:keepLines w:val="0"/>
        <w:pageBreakBefore w:val="0"/>
        <w:widowControl/>
        <w:suppressLineNumbers w:val="0"/>
        <w:kinsoku/>
        <w:wordWrap/>
        <w:overflowPunct/>
        <w:topLinePunct w:val="0"/>
        <w:autoSpaceDE/>
        <w:autoSpaceDN/>
        <w:bidi w:val="0"/>
        <w:adjustRightInd/>
        <w:snapToGrid/>
        <w:spacing w:line="580" w:lineRule="exact"/>
        <w:ind w:left="0" w:leftChars="0" w:right="0" w:rightChars="0" w:firstLine="0" w:firstLineChars="0"/>
        <w:jc w:val="both"/>
        <w:textAlignment w:val="auto"/>
        <w:outlineLvl w:val="9"/>
        <w:rPr>
          <w:rFonts w:hint="eastAsia" w:ascii="宋体" w:hAnsi="宋体" w:eastAsia="宋体" w:cs="宋体"/>
          <w:sz w:val="28"/>
          <w:szCs w:val="28"/>
        </w:rPr>
      </w:pPr>
      <w:r>
        <w:rPr>
          <w:rFonts w:hint="eastAsia" w:ascii="宋体" w:hAnsi="宋体" w:eastAsia="宋体" w:cs="宋体"/>
          <w:kern w:val="0"/>
          <w:sz w:val="28"/>
          <w:szCs w:val="28"/>
          <w:lang w:val="en-US" w:eastAsia="zh-CN" w:bidi="ar"/>
        </w:rPr>
        <w:t xml:space="preserve"> 五、本通知自发布之日起实施。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80" w:lineRule="exact"/>
        <w:ind w:left="0" w:leftChars="0" w:right="0" w:rightChars="0" w:firstLine="0" w:firstLineChars="0"/>
        <w:jc w:val="right"/>
        <w:textAlignment w:val="auto"/>
        <w:outlineLvl w:val="9"/>
        <w:rPr>
          <w:sz w:val="28"/>
          <w:szCs w:val="28"/>
        </w:rPr>
      </w:pPr>
      <w:r>
        <w:rPr>
          <w:rFonts w:hint="eastAsia" w:ascii="宋体" w:hAnsi="宋体" w:eastAsia="宋体" w:cs="宋体"/>
          <w:sz w:val="28"/>
          <w:szCs w:val="28"/>
        </w:rPr>
        <w:t>北京市发展和改革委员会</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Lucida Sans"/>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Lucida Sans">
    <w:panose1 w:val="020B0602030504020204"/>
    <w:charset w:val="00"/>
    <w:family w:val="auto"/>
    <w:pitch w:val="default"/>
    <w:sig w:usb0="00000000" w:usb1="00000000" w:usb2="00000000" w:usb3="00000000" w:csb0="00000000" w:csb1="00000000"/>
  </w:font>
  <w:font w:name="Hiragino Sans GB">
    <w:altName w:val="Latha"/>
    <w:panose1 w:val="00000000000000000000"/>
    <w:charset w:val="00"/>
    <w:family w:val="auto"/>
    <w:pitch w:val="default"/>
    <w:sig w:usb0="00000000" w:usb1="00000000" w:usb2="00000000" w:usb3="00000000" w:csb0="00040001"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2D57D64"/>
    <w:rsid w:val="62D57D64"/>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2016-08-22T04:01:00Z</dcterms:created>
  <dc:creator>Administrator</dc:creator>
  <cp:lastModifiedBy>Administrator</cp:lastModifiedBy>
  <dcterms:modified xsi:type="dcterms:W3CDTF">2016-08-22T04:05:36Z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